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547D1">
      <w:pPr>
        <w:widowControl w:val="0"/>
        <w:pBdr>
          <w:top w:val="none" w:color="auto" w:sz="0" w:space="1"/>
          <w:left w:val="none" w:color="auto" w:sz="0" w:space="4"/>
          <w:bottom w:val="thinThickMediumGap" w:color="FF0000" w:sz="24" w:space="1"/>
          <w:right w:val="none" w:color="auto" w:sz="0" w:space="4"/>
        </w:pBdr>
        <w:tabs>
          <w:tab w:val="left" w:pos="225"/>
          <w:tab w:val="left" w:pos="420"/>
          <w:tab w:val="right" w:pos="8624"/>
        </w:tabs>
        <w:adjustRightInd/>
        <w:snapToGrid/>
        <w:spacing w:after="0"/>
        <w:jc w:val="center"/>
        <w:rPr>
          <w:rFonts w:ascii="宋体" w:hAnsi="宋体" w:eastAsia="宋体"/>
          <w:b/>
          <w:bCs/>
          <w:color w:val="FF0000"/>
          <w:sz w:val="96"/>
          <w:szCs w:val="96"/>
        </w:rPr>
      </w:pPr>
      <w:r>
        <w:rPr>
          <w:rFonts w:hint="eastAsia" w:ascii="宋体" w:hAnsi="宋体" w:eastAsia="宋体"/>
          <w:b/>
          <w:bCs/>
          <w:color w:val="FF0000"/>
          <w:spacing w:val="0"/>
          <w:w w:val="95"/>
          <w:kern w:val="0"/>
          <w:sz w:val="96"/>
          <w:szCs w:val="96"/>
          <w:fitText w:val="8242" w:id="-1252686335"/>
        </w:rPr>
        <w:t>滕州市教育和体育</w:t>
      </w:r>
      <w:r>
        <w:rPr>
          <w:rFonts w:hint="eastAsia" w:ascii="宋体" w:hAnsi="宋体" w:eastAsia="宋体"/>
          <w:b/>
          <w:bCs/>
          <w:color w:val="FF0000"/>
          <w:spacing w:val="-26"/>
          <w:w w:val="95"/>
          <w:kern w:val="0"/>
          <w:sz w:val="96"/>
          <w:szCs w:val="96"/>
          <w:fitText w:val="8242" w:id="-1252686335"/>
        </w:rPr>
        <w:t>局</w:t>
      </w:r>
    </w:p>
    <w:p w14:paraId="64B26E2A">
      <w:pPr>
        <w:keepNext w:val="0"/>
        <w:keepLines w:val="0"/>
        <w:pageBreakBefore w:val="0"/>
        <w:widowControl/>
        <w:kinsoku/>
        <w:wordWrap/>
        <w:overflowPunct/>
        <w:topLinePunct w:val="0"/>
        <w:autoSpaceDE/>
        <w:autoSpaceDN/>
        <w:bidi w:val="0"/>
        <w:adjustRightInd w:val="0"/>
        <w:snapToGrid w:val="0"/>
        <w:spacing w:after="0" w:line="700" w:lineRule="exact"/>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关于组织申报2024年枣庄市科学教育专项课题的通知</w:t>
      </w:r>
    </w:p>
    <w:p w14:paraId="5ECAD177">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eastAsia" w:ascii="方正小标宋简体" w:hAnsi="方正小标宋简体" w:eastAsia="方正小标宋简体" w:cs="方正小标宋简体"/>
          <w:sz w:val="36"/>
          <w:szCs w:val="36"/>
        </w:rPr>
      </w:pPr>
    </w:p>
    <w:p w14:paraId="7CB6A4AD">
      <w:pPr>
        <w:keepNext w:val="0"/>
        <w:keepLines w:val="0"/>
        <w:pageBreakBefore w:val="0"/>
        <w:widowControl/>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学（联）区</w:t>
      </w:r>
      <w:r>
        <w:rPr>
          <w:rFonts w:hint="eastAsia" w:ascii="仿宋_GB2312" w:hAnsi="仿宋_GB2312" w:eastAsia="仿宋_GB2312" w:cs="仿宋_GB2312"/>
          <w:sz w:val="32"/>
          <w:szCs w:val="32"/>
        </w:rPr>
        <w:t>、市直及民办学校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幼儿园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、中职学校</w:t>
      </w:r>
      <w:r>
        <w:rPr>
          <w:rFonts w:hint="eastAsia" w:ascii="仿宋_GB2312" w:hAnsi="仿宋_GB2312" w:eastAsia="仿宋_GB2312" w:cs="仿宋_GB2312"/>
          <w:sz w:val="32"/>
          <w:szCs w:val="32"/>
          <w:lang w:eastAsia="zh-CN"/>
        </w:rPr>
        <w:t>：</w:t>
      </w:r>
    </w:p>
    <w:p w14:paraId="18AE5BC5">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落实党的二十大精神，推进我市科学教育实验区建设工作，按照《枣庄市教育局等4部门关于全面加强中小学科学教育推进拔尖创新后备人才培养的通知》（枣教字〔2024〕1号）和《枣庄市建设全国中小学科学教育实验区工作方案》及枣庄市教科院有关通知要求，经研究，决定组织开展2024年枣庄市科学教育专项课题申报工作，具体通知如下：</w:t>
      </w:r>
    </w:p>
    <w:p w14:paraId="2FB53E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一、工作目标</w:t>
      </w:r>
    </w:p>
    <w:p w14:paraId="0BFE4B4C">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eastAsia="仿宋_GB2312"/>
          <w:sz w:val="32"/>
        </w:rPr>
      </w:pPr>
      <w:r>
        <w:rPr>
          <w:rFonts w:hint="eastAsia" w:eastAsia="仿宋_GB2312"/>
          <w:sz w:val="32"/>
        </w:rPr>
        <w:t>聚焦中小学科学教育的重点难点问题，探索拔尖创新人才培养机制，通过课题研究推动科学教育创新发展，形成具有枣庄特色的科学教育经验和成果。</w:t>
      </w:r>
    </w:p>
    <w:p w14:paraId="1E5F7D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二、申报范围</w:t>
      </w:r>
    </w:p>
    <w:p w14:paraId="13CE7BE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全市各中小学校（含中职学校、幼儿园）、教科研机构及在职在岗人员，鼓励跨学科、跨学段合作研究。</w:t>
      </w:r>
    </w:p>
    <w:p w14:paraId="5F8782A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三、申报原则</w:t>
      </w:r>
    </w:p>
    <w:p w14:paraId="0545369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1.课题应具有创新性、前瞻性和实践价值，能够提出切实可行的解决方案和策略，有助于提升中小学科学教育质量和水平。</w:t>
      </w:r>
    </w:p>
    <w:p w14:paraId="42EFB9F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课题研究应紧密结合全国中小学科学教育实验区建设工作和《枣庄市教育局等4部门关于全面加强中小学科学教育推进拔尖创新后备人才培养的通知》（枣教字〔2024〕1号）中的重点任务，关注课程、资源、教学、师资、评价等方面的研究。</w:t>
      </w:r>
    </w:p>
    <w:p w14:paraId="5A08190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3.课题主持人需具备中级以上职称，具备相应的研究能力和经验，能够承担课题研究的各项任务，确保课题按时、高质量完成。课题组成员结构合理，具备跨学科、跨领域的研究能力。</w:t>
      </w:r>
    </w:p>
    <w:p w14:paraId="450A7CD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学（联）区</w:t>
      </w:r>
      <w:r>
        <w:rPr>
          <w:rFonts w:hint="eastAsia" w:ascii="仿宋_GB2312" w:hAnsi="仿宋_GB2312" w:eastAsia="仿宋_GB2312" w:cs="仿宋_GB2312"/>
          <w:sz w:val="32"/>
          <w:szCs w:val="32"/>
        </w:rPr>
        <w:t>、学校对申报课题进行初审，确保课题有明确的研究目标、内容和方法，具备良好的研究基础和条件，申报材料真实、完整、准确。</w:t>
      </w:r>
    </w:p>
    <w:p w14:paraId="46D4296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四、申报要求</w:t>
      </w:r>
    </w:p>
    <w:p w14:paraId="4D7F359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1.课题主持人同年度只能申报一项科学教育专项课题，且不能作为课题组成员参与其他课题的申报；课题组成员同年度最多只能参与一项科学教育专项课题的申报。</w:t>
      </w:r>
    </w:p>
    <w:p w14:paraId="3C82D3B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2.课题要以中小学科学教育为研究核心，申报可参考《选题指南》，也可根据学校实际和个人研究特长实际自选课题，不支持以编译著作、编写教材、编写丛书、编写工具书等为直接目的的课题研究。</w:t>
      </w:r>
    </w:p>
    <w:p w14:paraId="3B3785F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3.申报单位应确保课题主持人及课题组成员有足够的时间和精力投入研究工作；课题研究成果将作为评价单位科学教育工作的重要依据之一。</w:t>
      </w:r>
    </w:p>
    <w:p w14:paraId="316E6B6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zh-CN"/>
        </w:rPr>
        <w:t>.凡</w:t>
      </w:r>
      <w:r>
        <w:rPr>
          <w:rFonts w:hint="eastAsia" w:ascii="仿宋_GB2312" w:hAnsi="仿宋_GB2312" w:eastAsia="仿宋_GB2312" w:cs="仿宋_GB2312"/>
          <w:sz w:val="32"/>
          <w:szCs w:val="32"/>
        </w:rPr>
        <w:t>省级或</w:t>
      </w:r>
      <w:r>
        <w:rPr>
          <w:rFonts w:hint="eastAsia" w:ascii="仿宋_GB2312" w:hAnsi="仿宋_GB2312" w:eastAsia="仿宋_GB2312" w:cs="仿宋_GB2312"/>
          <w:sz w:val="32"/>
          <w:szCs w:val="32"/>
          <w:lang w:val="en-US" w:eastAsia="zh-CN"/>
        </w:rPr>
        <w:t>枣庄</w:t>
      </w:r>
      <w:r>
        <w:rPr>
          <w:rFonts w:hint="eastAsia" w:ascii="仿宋_GB2312" w:hAnsi="仿宋_GB2312" w:eastAsia="仿宋_GB2312" w:cs="仿宋_GB2312"/>
          <w:sz w:val="32"/>
          <w:szCs w:val="32"/>
        </w:rPr>
        <w:t>市级在研课题（教育科学规划、教育教学等）的主持人，不能作为主持人参加申报。</w:t>
      </w:r>
    </w:p>
    <w:p w14:paraId="39C4B6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5.选题参考附件4《参考选题指南》。</w:t>
      </w:r>
    </w:p>
    <w:p w14:paraId="4F9B6D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五、申报数量</w:t>
      </w:r>
    </w:p>
    <w:p w14:paraId="5E491EF8">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本次申报采取限额申报方式，具体名额分配如下：</w:t>
      </w:r>
    </w:p>
    <w:p w14:paraId="4BEBA7F5">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北辛、荆河、龙泉联区各4项，其余联区各2项、学区各1项；市一中3项、市二中2项；市实验小学各校区共3项；市实验幼儿园2项；其他市直民办学校各1项。中职学校每校2项。</w:t>
      </w:r>
    </w:p>
    <w:p w14:paraId="485B5AE2">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特别说明：齐鲁名师、名校长、名班主任建设工程人选可不占名额申报。</w:t>
      </w:r>
    </w:p>
    <w:p w14:paraId="79BEF9F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六、申报方式</w:t>
      </w:r>
    </w:p>
    <w:p w14:paraId="5D938E4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以</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学（联）区</w:t>
      </w:r>
      <w:r>
        <w:rPr>
          <w:rFonts w:hint="eastAsia" w:ascii="仿宋_GB2312" w:hAnsi="仿宋_GB2312" w:eastAsia="仿宋_GB2312" w:cs="仿宋_GB2312"/>
          <w:sz w:val="32"/>
          <w:szCs w:val="32"/>
        </w:rPr>
        <w:t>、市直</w:t>
      </w:r>
      <w:r>
        <w:rPr>
          <w:rFonts w:hint="eastAsia" w:ascii="仿宋_GB2312" w:hAnsi="仿宋_GB2312" w:eastAsia="仿宋_GB2312" w:cs="仿宋_GB2312"/>
          <w:sz w:val="32"/>
          <w:szCs w:val="32"/>
          <w:lang w:val="en-US" w:eastAsia="zh-CN"/>
        </w:rPr>
        <w:t>民办</w:t>
      </w:r>
      <w:r>
        <w:rPr>
          <w:rFonts w:hint="eastAsia" w:ascii="仿宋_GB2312" w:hAnsi="仿宋_GB2312" w:eastAsia="仿宋_GB2312" w:cs="仿宋_GB2312"/>
          <w:sz w:val="32"/>
          <w:szCs w:val="32"/>
        </w:rPr>
        <w:t>学校</w:t>
      </w:r>
      <w:r>
        <w:rPr>
          <w:rFonts w:hint="eastAsia" w:ascii="仿宋_GB2312" w:hAnsi="仿宋_GB2312" w:eastAsia="仿宋_GB2312" w:cs="仿宋_GB2312"/>
          <w:sz w:val="32"/>
          <w:szCs w:val="32"/>
          <w:lang w:val="en-US" w:eastAsia="zh-CN"/>
        </w:rPr>
        <w:t>为单位进行</w:t>
      </w:r>
      <w:r>
        <w:rPr>
          <w:rFonts w:hint="eastAsia" w:ascii="仿宋_GB2312" w:hAnsi="仿宋_GB2312" w:eastAsia="仿宋_GB2312" w:cs="仿宋_GB2312"/>
          <w:sz w:val="32"/>
          <w:szCs w:val="32"/>
        </w:rPr>
        <w:t>申报，不受理个人申报。</w:t>
      </w:r>
    </w:p>
    <w:p w14:paraId="64DAF2F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材料要求</w:t>
      </w:r>
      <w:r>
        <w:rPr>
          <w:rFonts w:hint="eastAsia" w:ascii="仿宋_GB2312" w:hAnsi="仿宋_GB2312" w:eastAsia="仿宋_GB2312" w:cs="仿宋_GB2312"/>
          <w:sz w:val="32"/>
          <w:szCs w:val="32"/>
        </w:rPr>
        <w:t>。</w:t>
      </w:r>
    </w:p>
    <w:p w14:paraId="4D7854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电子材料。</w:t>
      </w:r>
      <w:r>
        <w:rPr>
          <w:rFonts w:hint="eastAsia" w:ascii="仿宋_GB2312" w:hAnsi="仿宋_GB2312" w:eastAsia="仿宋_GB2312" w:cs="仿宋_GB2312"/>
          <w:sz w:val="32"/>
          <w:szCs w:val="32"/>
          <w:lang w:val="en-US" w:eastAsia="zh-CN"/>
        </w:rPr>
        <w:t>附件1</w:t>
      </w:r>
      <w:r>
        <w:rPr>
          <w:rFonts w:hint="eastAsia" w:ascii="仿宋_GB2312" w:hAnsi="仿宋_GB2312" w:eastAsia="仿宋_GB2312" w:cs="仿宋_GB2312"/>
          <w:sz w:val="32"/>
          <w:szCs w:val="32"/>
        </w:rPr>
        <w:t>申请书</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lang w:val="en-US" w:eastAsia="zh-CN"/>
        </w:rPr>
        <w:t>附件2</w:t>
      </w:r>
      <w:r>
        <w:rPr>
          <w:rFonts w:hint="eastAsia" w:ascii="仿宋_GB2312" w:hAnsi="仿宋_GB2312" w:eastAsia="仿宋_GB2312" w:cs="仿宋_GB2312"/>
          <w:sz w:val="32"/>
          <w:szCs w:val="32"/>
        </w:rPr>
        <w:t>设计论证、</w:t>
      </w:r>
      <w:r>
        <w:rPr>
          <w:rFonts w:hint="eastAsia" w:ascii="仿宋_GB2312" w:hAnsi="仿宋_GB2312" w:eastAsia="仿宋_GB2312" w:cs="仿宋_GB2312"/>
          <w:sz w:val="32"/>
          <w:szCs w:val="32"/>
          <w:lang w:val="en-US" w:eastAsia="zh-CN"/>
        </w:rPr>
        <w:t>附件3</w:t>
      </w:r>
      <w:r>
        <w:rPr>
          <w:rFonts w:hint="eastAsia" w:ascii="仿宋_GB2312" w:hAnsi="仿宋_GB2312" w:eastAsia="仿宋_GB2312" w:cs="仿宋_GB2312"/>
          <w:sz w:val="32"/>
          <w:szCs w:val="32"/>
        </w:rPr>
        <w:t>汇总表(见附件)电子版、PDF盖</w:t>
      </w:r>
      <w:r>
        <w:rPr>
          <w:rFonts w:hint="eastAsia" w:ascii="仿宋_GB2312" w:hAnsi="仿宋_GB2312" w:eastAsia="仿宋_GB2312" w:cs="仿宋_GB2312"/>
          <w:sz w:val="32"/>
          <w:szCs w:val="32"/>
          <w:lang w:val="en-US" w:eastAsia="zh-CN"/>
        </w:rPr>
        <w:t>学（联）区、市直民办学校公章</w:t>
      </w:r>
      <w:r>
        <w:rPr>
          <w:rFonts w:hint="eastAsia" w:ascii="仿宋_GB2312" w:hAnsi="仿宋_GB2312" w:eastAsia="仿宋_GB2312" w:cs="仿宋_GB2312"/>
          <w:sz w:val="32"/>
          <w:szCs w:val="32"/>
        </w:rPr>
        <w:t>扫描版</w:t>
      </w:r>
      <w:r>
        <w:rPr>
          <w:rFonts w:hint="eastAsia" w:ascii="仿宋_GB2312" w:hAnsi="仿宋_GB2312" w:eastAsia="仿宋_GB2312" w:cs="仿宋_GB2312"/>
          <w:sz w:val="32"/>
          <w:szCs w:val="32"/>
          <w:lang w:val="en-US" w:eastAsia="zh-CN"/>
        </w:rPr>
        <w:t>压</w:t>
      </w:r>
      <w:r>
        <w:rPr>
          <w:rFonts w:hint="eastAsia" w:ascii="仿宋_GB2312" w:hAnsi="仿宋_GB2312" w:eastAsia="仿宋_GB2312" w:cs="仿宋_GB2312"/>
          <w:sz w:val="32"/>
          <w:szCs w:val="32"/>
        </w:rPr>
        <w:t>缩后报送电</w:t>
      </w:r>
      <w:r>
        <w:rPr>
          <w:rFonts w:hint="eastAsia" w:ascii="仿宋" w:hAnsi="仿宋" w:eastAsia="仿宋"/>
          <w:bCs/>
          <w:sz w:val="32"/>
          <w:szCs w:val="30"/>
        </w:rPr>
        <w:t>子邮箱:</w:t>
      </w:r>
      <w:r>
        <w:rPr>
          <w:rFonts w:hint="eastAsia" w:ascii="仿宋_GB2312" w:hAnsi="仿宋_GB2312" w:eastAsia="仿宋_GB2312" w:cs="仿宋_GB2312"/>
          <w:sz w:val="32"/>
          <w:szCs w:val="32"/>
        </w:rPr>
        <w:t>tzsjykxyjs@126.com，</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"mailto:发至山东省教师教育学会邮箱sdsjsjyxh@163.com，邮件主题请注明"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邮件主题须注明“202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市科学教育专项课题+单位。</w:t>
      </w:r>
    </w:p>
    <w:p w14:paraId="646296E2">
      <w:pPr>
        <w:spacing w:after="0" w:line="560" w:lineRule="exact"/>
        <w:ind w:firstLine="640" w:firstLineChars="200"/>
        <w:outlineLvl w:val="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（2）纸质材料。</w:t>
      </w:r>
      <w:r>
        <w:rPr>
          <w:rFonts w:hint="eastAsia" w:ascii="仿宋" w:hAnsi="仿宋" w:eastAsia="仿宋"/>
          <w:bCs/>
          <w:sz w:val="32"/>
          <w:szCs w:val="30"/>
        </w:rPr>
        <w:t>所有课题均提供</w:t>
      </w:r>
      <w:r>
        <w:rPr>
          <w:rFonts w:hint="eastAsia" w:ascii="仿宋" w:hAnsi="仿宋" w:eastAsia="仿宋"/>
          <w:b/>
          <w:sz w:val="32"/>
          <w:szCs w:val="30"/>
          <w:lang w:val="en-US" w:eastAsia="zh-CN"/>
        </w:rPr>
        <w:t>需单独装订的</w:t>
      </w:r>
      <w:r>
        <w:rPr>
          <w:rFonts w:hint="eastAsia" w:ascii="仿宋" w:hAnsi="仿宋" w:eastAsia="仿宋"/>
          <w:bCs/>
          <w:sz w:val="32"/>
          <w:szCs w:val="30"/>
        </w:rPr>
        <w:t>《申请书》1份，《</w:t>
      </w:r>
      <w:r>
        <w:rPr>
          <w:rFonts w:hint="eastAsia" w:ascii="仿宋_GB2312" w:hAnsi="仿宋_GB2312" w:eastAsia="仿宋_GB2312" w:cs="仿宋_GB2312"/>
          <w:sz w:val="32"/>
          <w:szCs w:val="32"/>
        </w:rPr>
        <w:t>设计论证</w:t>
      </w:r>
      <w:r>
        <w:rPr>
          <w:rFonts w:hint="eastAsia" w:ascii="仿宋" w:hAnsi="仿宋" w:eastAsia="仿宋"/>
          <w:bCs/>
          <w:sz w:val="32"/>
          <w:szCs w:val="30"/>
        </w:rPr>
        <w:t>》3份</w:t>
      </w:r>
      <w:r>
        <w:rPr>
          <w:rFonts w:hint="eastAsia" w:ascii="仿宋" w:hAnsi="仿宋" w:eastAsia="仿宋"/>
          <w:b/>
          <w:sz w:val="32"/>
          <w:szCs w:val="30"/>
        </w:rPr>
        <w:t>（</w:t>
      </w:r>
      <w:r>
        <w:rPr>
          <w:rFonts w:hint="eastAsia" w:ascii="仿宋" w:hAnsi="仿宋" w:eastAsia="仿宋"/>
          <w:b/>
          <w:sz w:val="32"/>
          <w:szCs w:val="30"/>
          <w:lang w:val="en-US" w:eastAsia="zh-CN"/>
        </w:rPr>
        <w:t>需装订，</w:t>
      </w:r>
      <w:r>
        <w:rPr>
          <w:rFonts w:hint="eastAsia" w:ascii="仿宋" w:hAnsi="仿宋" w:eastAsia="仿宋"/>
          <w:b/>
          <w:sz w:val="32"/>
          <w:szCs w:val="30"/>
        </w:rPr>
        <w:t>其中1份正常填写、另2份“</w:t>
      </w:r>
      <w:r>
        <w:rPr>
          <w:rFonts w:hint="eastAsia" w:ascii="宋体" w:eastAsia="黑体"/>
          <w:bCs/>
          <w:sz w:val="30"/>
        </w:rPr>
        <w:t>课题名称：</w:t>
      </w:r>
      <w:r>
        <w:rPr>
          <w:rFonts w:hint="eastAsia" w:ascii="宋体" w:eastAsia="黑体"/>
          <w:bCs/>
          <w:sz w:val="30"/>
          <w:u w:val="single"/>
        </w:rPr>
        <w:t xml:space="preserve">        </w:t>
      </w:r>
      <w:r>
        <w:rPr>
          <w:rFonts w:hint="eastAsia" w:ascii="仿宋" w:hAnsi="仿宋" w:eastAsia="仿宋"/>
          <w:b/>
          <w:sz w:val="32"/>
          <w:szCs w:val="30"/>
        </w:rPr>
        <w:t>”处保持空白，否则取消评审资格）</w:t>
      </w:r>
      <w:r>
        <w:rPr>
          <w:rFonts w:hint="eastAsia" w:ascii="仿宋" w:hAnsi="仿宋" w:eastAsia="仿宋"/>
          <w:b/>
          <w:sz w:val="32"/>
          <w:szCs w:val="30"/>
          <w:lang w:eastAsia="zh-CN"/>
        </w:rPr>
        <w:t>，</w:t>
      </w:r>
      <w:r>
        <w:rPr>
          <w:rFonts w:hint="eastAsia" w:ascii="仿宋_GB2312" w:hAnsi="仿宋_GB2312" w:eastAsia="仿宋_GB2312" w:cs="仿宋_GB2312"/>
          <w:sz w:val="32"/>
          <w:szCs w:val="32"/>
          <w:lang w:val="en-US" w:eastAsia="zh-CN"/>
        </w:rPr>
        <w:t>汇总表盖学（联）区、市直民办学校公章</w:t>
      </w:r>
      <w:r>
        <w:rPr>
          <w:rFonts w:hint="eastAsia" w:ascii="仿宋_GB2312" w:hAnsi="仿宋_GB2312" w:eastAsia="仿宋_GB2312" w:cs="仿宋_GB2312"/>
          <w:sz w:val="32"/>
          <w:szCs w:val="32"/>
          <w:lang w:eastAsia="zh-CN"/>
        </w:rPr>
        <w:t>。</w:t>
      </w:r>
    </w:p>
    <w:p w14:paraId="0422BB54">
      <w:pPr>
        <w:spacing w:after="0" w:line="560" w:lineRule="exact"/>
        <w:ind w:firstLine="640" w:firstLineChars="200"/>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anchor distT="0" distB="0" distL="114300" distR="114300" simplePos="0" relativeHeight="251659264" behindDoc="1" locked="0" layoutInCell="1" allowOverlap="1">
            <wp:simplePos x="0" y="0"/>
            <wp:positionH relativeFrom="column">
              <wp:posOffset>4153535</wp:posOffset>
            </wp:positionH>
            <wp:positionV relativeFrom="paragraph">
              <wp:posOffset>983615</wp:posOffset>
            </wp:positionV>
            <wp:extent cx="1517015" cy="1391285"/>
            <wp:effectExtent l="0" t="0" r="6985" b="0"/>
            <wp:wrapTight wrapText="bothSides">
              <wp:wrapPolygon>
                <wp:start x="0" y="0"/>
                <wp:lineTo x="0" y="21294"/>
                <wp:lineTo x="21428" y="21294"/>
                <wp:lineTo x="21428" y="0"/>
                <wp:lineTo x="0" y="0"/>
              </wp:wrapPolygon>
            </wp:wrapTight>
            <wp:docPr id="1" name="图片 1" descr="2ff1f5a126a0e72123b0f1b3364fc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ff1f5a126a0e72123b0f1b3364fcf3"/>
                    <pic:cNvPicPr>
                      <a:picLocks noChangeAspect="1"/>
                    </pic:cNvPicPr>
                  </pic:nvPicPr>
                  <pic:blipFill>
                    <a:blip r:embed="rId5"/>
                    <a:stretch>
                      <a:fillRect/>
                    </a:stretch>
                  </pic:blipFill>
                  <pic:spPr>
                    <a:xfrm>
                      <a:off x="0" y="0"/>
                      <a:ext cx="1517015" cy="1391285"/>
                    </a:xfrm>
                    <a:prstGeom prst="rect">
                      <a:avLst/>
                    </a:prstGeom>
                  </pic:spPr>
                </pic:pic>
              </a:graphicData>
            </a:graphic>
          </wp:anchor>
        </w:drawing>
      </w:r>
      <w:r>
        <w:rPr>
          <w:rFonts w:hint="eastAsia" w:ascii="仿宋_GB2312" w:hAnsi="仿宋_GB2312" w:eastAsia="仿宋_GB2312" w:cs="仿宋_GB2312"/>
          <w:sz w:val="32"/>
          <w:szCs w:val="32"/>
        </w:rPr>
        <w:t>3.报送时间。</w:t>
      </w:r>
      <w:r>
        <w:rPr>
          <w:rFonts w:hint="eastAsia" w:ascii="仿宋_GB2312" w:hAnsi="仿宋_GB2312" w:eastAsia="仿宋_GB2312" w:cs="仿宋_GB2312"/>
          <w:sz w:val="32"/>
          <w:szCs w:val="32"/>
          <w:lang w:eastAsia="zh-CN"/>
        </w:rPr>
        <w:t>学（联）区</w:t>
      </w:r>
      <w:r>
        <w:rPr>
          <w:rFonts w:hint="eastAsia" w:ascii="仿宋_GB2312" w:hAnsi="仿宋_GB2312" w:eastAsia="仿宋_GB2312" w:cs="仿宋_GB2312"/>
          <w:sz w:val="32"/>
          <w:szCs w:val="32"/>
        </w:rPr>
        <w:t>、市直学校公示后，于2024年7月22日14：00—16：00以</w:t>
      </w:r>
      <w:r>
        <w:rPr>
          <w:rFonts w:hint="eastAsia" w:ascii="仿宋_GB2312" w:hAnsi="仿宋_GB2312" w:eastAsia="仿宋_GB2312" w:cs="仿宋_GB2312"/>
          <w:sz w:val="32"/>
          <w:szCs w:val="32"/>
          <w:lang w:eastAsia="zh-CN"/>
        </w:rPr>
        <w:t>学（联）区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市直民办</w:t>
      </w:r>
      <w:r>
        <w:rPr>
          <w:rFonts w:hint="eastAsia" w:ascii="仿宋_GB2312" w:hAnsi="仿宋_GB2312" w:eastAsia="仿宋_GB2312" w:cs="仿宋_GB2312"/>
          <w:sz w:val="32"/>
          <w:szCs w:val="32"/>
        </w:rPr>
        <w:t>学校为单位发送到指定邮箱，</w:t>
      </w:r>
      <w:r>
        <w:rPr>
          <w:rFonts w:hint="eastAsia" w:ascii="仿宋_GB2312" w:hAnsi="仿宋_GB2312" w:eastAsia="仿宋_GB2312" w:cs="仿宋_GB2312"/>
          <w:sz w:val="32"/>
          <w:szCs w:val="32"/>
          <w:lang w:val="zh-CN"/>
        </w:rPr>
        <w:t>纸质版</w:t>
      </w:r>
      <w:r>
        <w:rPr>
          <w:rFonts w:hint="eastAsia" w:ascii="仿宋_GB2312" w:hAnsi="仿宋_GB2312" w:eastAsia="仿宋_GB2312" w:cs="仿宋_GB2312"/>
          <w:sz w:val="32"/>
          <w:szCs w:val="32"/>
        </w:rPr>
        <w:t>报送</w:t>
      </w:r>
      <w:r>
        <w:rPr>
          <w:rFonts w:hint="eastAsia" w:ascii="仿宋_GB2312" w:hAnsi="仿宋_GB2312" w:eastAsia="仿宋_GB2312" w:cs="仿宋_GB2312"/>
          <w:sz w:val="32"/>
          <w:szCs w:val="32"/>
          <w:lang w:val="zh-CN"/>
        </w:rPr>
        <w:t>市教</w:t>
      </w:r>
      <w:r>
        <w:rPr>
          <w:rFonts w:hint="eastAsia" w:ascii="仿宋_GB2312" w:hAnsi="仿宋_GB2312" w:eastAsia="仿宋_GB2312" w:cs="仿宋_GB2312"/>
          <w:sz w:val="32"/>
          <w:szCs w:val="32"/>
        </w:rPr>
        <w:t>体</w:t>
      </w:r>
      <w:r>
        <w:rPr>
          <w:rFonts w:hint="eastAsia" w:ascii="仿宋_GB2312" w:hAnsi="仿宋_GB2312" w:eastAsia="仿宋_GB2312" w:cs="仿宋_GB2312"/>
          <w:sz w:val="32"/>
          <w:szCs w:val="32"/>
          <w:lang w:val="zh-CN"/>
        </w:rPr>
        <w:t>局</w:t>
      </w:r>
      <w:r>
        <w:rPr>
          <w:rFonts w:hint="eastAsia" w:ascii="仿宋_GB2312" w:hAnsi="仿宋_GB2312" w:eastAsia="仿宋_GB2312" w:cs="仿宋_GB2312"/>
          <w:sz w:val="32"/>
          <w:szCs w:val="32"/>
          <w:lang w:val="en-US" w:eastAsia="zh-CN"/>
        </w:rPr>
        <w:t>南楼</w:t>
      </w:r>
      <w:r>
        <w:rPr>
          <w:rFonts w:hint="eastAsia" w:ascii="仿宋_GB2312" w:hAnsi="仿宋_GB2312" w:eastAsia="仿宋_GB2312" w:cs="仿宋_GB2312"/>
          <w:sz w:val="32"/>
          <w:szCs w:val="32"/>
        </w:rPr>
        <w:t>31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val="zh-CN"/>
        </w:rPr>
        <w:t>室，</w:t>
      </w:r>
      <w:r>
        <w:rPr>
          <w:rFonts w:hint="eastAsia" w:ascii="仿宋_GB2312" w:hAnsi="仿宋_GB2312" w:eastAsia="仿宋_GB2312" w:cs="仿宋_GB2312"/>
          <w:sz w:val="32"/>
          <w:szCs w:val="32"/>
        </w:rPr>
        <w:t>逾期不再受理。</w:t>
      </w:r>
    </w:p>
    <w:p w14:paraId="1079523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汇总表单独</w:t>
      </w:r>
      <w:r>
        <w:rPr>
          <w:rFonts w:hint="eastAsia" w:ascii="仿宋_GB2312" w:hAnsi="仿宋_GB2312" w:eastAsia="仿宋_GB2312" w:cs="仿宋_GB2312"/>
          <w:sz w:val="32"/>
          <w:szCs w:val="32"/>
        </w:rPr>
        <w:t>报送途径：</w:t>
      </w:r>
    </w:p>
    <w:p w14:paraId="05FC68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扫</w:t>
      </w:r>
      <w:r>
        <w:rPr>
          <w:rFonts w:hint="eastAsia" w:ascii="仿宋_GB2312" w:hAnsi="仿宋_GB2312" w:eastAsia="仿宋_GB2312" w:cs="仿宋_GB2312"/>
          <w:sz w:val="32"/>
          <w:szCs w:val="32"/>
          <w:lang w:val="en-US" w:eastAsia="zh-CN"/>
        </w:rPr>
        <w:t>描</w:t>
      </w:r>
      <w:r>
        <w:rPr>
          <w:rFonts w:hint="eastAsia" w:ascii="仿宋_GB2312" w:hAnsi="仿宋_GB2312" w:eastAsia="仿宋_GB2312" w:cs="仿宋_GB2312"/>
          <w:sz w:val="32"/>
          <w:szCs w:val="32"/>
        </w:rPr>
        <w:t>右侧二维码填报</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"mailto:汇总表发至邮箱tzsjks@126.com"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汇总表</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信息</w:t>
      </w:r>
      <w:r>
        <w:rPr>
          <w:rFonts w:hint="eastAsia" w:ascii="仿宋_GB2312" w:hAnsi="仿宋_GB2312" w:eastAsia="仿宋_GB2312" w:cs="仿宋_GB2312"/>
          <w:sz w:val="32"/>
          <w:szCs w:val="32"/>
        </w:rPr>
        <w:t>（仅限汇总表）</w:t>
      </w:r>
      <w:r>
        <w:rPr>
          <w:rFonts w:hint="eastAsia" w:ascii="仿宋_GB2312" w:hAnsi="仿宋_GB2312" w:eastAsia="仿宋_GB2312" w:cs="仿宋_GB2312"/>
          <w:sz w:val="32"/>
          <w:szCs w:val="32"/>
          <w:lang w:eastAsia="zh-CN"/>
        </w:rPr>
        <w:t>，</w:t>
      </w:r>
    </w:p>
    <w:p w14:paraId="71E8536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七、注意事项</w:t>
      </w:r>
    </w:p>
    <w:p w14:paraId="752807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1.本次获准立项的课题原则上1年内完成，最多不超过2年。课题主持人所在单位、</w:t>
      </w:r>
      <w:r>
        <w:rPr>
          <w:rFonts w:hint="eastAsia" w:ascii="仿宋_GB2312" w:hAnsi="仿宋_GB2312" w:eastAsia="仿宋_GB2312" w:cs="仿宋_GB2312"/>
          <w:sz w:val="32"/>
          <w:szCs w:val="32"/>
          <w:lang w:eastAsia="zh-CN"/>
        </w:rPr>
        <w:t>学（联）区</w:t>
      </w:r>
      <w:r>
        <w:rPr>
          <w:rFonts w:hint="eastAsia" w:ascii="仿宋_GB2312" w:hAnsi="仿宋_GB2312" w:eastAsia="仿宋_GB2312" w:cs="仿宋_GB2312"/>
          <w:sz w:val="32"/>
          <w:szCs w:val="32"/>
        </w:rPr>
        <w:t>要加强课题管理，对课题研究进行指导、检查和督促。市教科所将定期对课题开展情况组织检查，对课题研究开展不力的，给予延期、中止、撤项处理，被撤项课题2年内不得再次申请，并相应核减单位申报指标。</w:t>
      </w:r>
    </w:p>
    <w:p w14:paraId="68A7B5F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2.课题主持人应如实填写申报材料，确保没有知识产权争议。凡存在弄虚作假、抄袭剽窃等行为的，一经发现查实，2年内不得申报</w:t>
      </w:r>
      <w:r>
        <w:rPr>
          <w:rFonts w:hint="eastAsia" w:ascii="仿宋_GB2312" w:hAnsi="仿宋_GB2312" w:eastAsia="仿宋_GB2312" w:cs="仿宋_GB2312"/>
          <w:sz w:val="32"/>
          <w:szCs w:val="32"/>
          <w:lang w:val="zh-CN"/>
        </w:rPr>
        <w:t>；如获立项</w:t>
      </w:r>
      <w:r>
        <w:rPr>
          <w:rFonts w:hint="eastAsia" w:ascii="仿宋_GB2312" w:hAnsi="仿宋_GB2312" w:eastAsia="仿宋_GB2312" w:cs="仿宋_GB2312"/>
          <w:sz w:val="32"/>
          <w:szCs w:val="32"/>
        </w:rPr>
        <w:t>给予</w:t>
      </w:r>
      <w:r>
        <w:rPr>
          <w:rFonts w:hint="eastAsia" w:ascii="仿宋_GB2312" w:hAnsi="仿宋_GB2312" w:eastAsia="仿宋_GB2312" w:cs="仿宋_GB2312"/>
          <w:sz w:val="32"/>
          <w:szCs w:val="32"/>
          <w:lang w:val="zh-CN"/>
        </w:rPr>
        <w:t>撤项并通报批评。凡在课题申报和评审过程中发现有严重违规违纪行为的，除按有关规定进行严肃处理外，均被列入不良科研信用记录。</w:t>
      </w:r>
    </w:p>
    <w:p w14:paraId="5133E1F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p>
    <w:p w14:paraId="6D4F1F7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附件：1.《枣庄市科学教育专项课题申请书》</w:t>
      </w:r>
    </w:p>
    <w:p w14:paraId="6383338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2.《枣庄市科学教育专项课题</w:t>
      </w:r>
      <w:r>
        <w:rPr>
          <w:rFonts w:hint="eastAsia" w:ascii="仿宋_GB2312" w:hAnsi="仿宋_GB2312" w:eastAsia="仿宋_GB2312" w:cs="仿宋_GB2312"/>
          <w:sz w:val="32"/>
          <w:szCs w:val="32"/>
          <w:lang w:val="en-US" w:eastAsia="zh-CN"/>
        </w:rPr>
        <w:t>设计论证》</w:t>
      </w:r>
    </w:p>
    <w:p w14:paraId="16C75FB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3.枣庄市科学教育专项课题申报汇总表</w:t>
      </w:r>
    </w:p>
    <w:p w14:paraId="6BDBD116">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4.参考选题指南</w:t>
      </w:r>
    </w:p>
    <w:p w14:paraId="5F3E77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p>
    <w:p w14:paraId="193E466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滕州市</w:t>
      </w:r>
      <w:r>
        <w:rPr>
          <w:rFonts w:hint="eastAsia" w:ascii="仿宋_GB2312" w:hAnsi="仿宋_GB2312" w:eastAsia="仿宋_GB2312" w:cs="仿宋_GB2312"/>
          <w:sz w:val="32"/>
          <w:szCs w:val="32"/>
          <w:lang w:val="en-US" w:eastAsia="zh-CN"/>
        </w:rPr>
        <w:t>教育和体育</w:t>
      </w:r>
      <w:r>
        <w:rPr>
          <w:rFonts w:hint="eastAsia" w:ascii="仿宋_GB2312" w:hAnsi="仿宋_GB2312" w:eastAsia="仿宋_GB2312" w:cs="仿宋_GB2312"/>
          <w:sz w:val="32"/>
          <w:szCs w:val="32"/>
        </w:rPr>
        <w:t>局</w:t>
      </w:r>
    </w:p>
    <w:p w14:paraId="08164C9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2024年7月</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w:t>
      </w:r>
    </w:p>
    <w:p w14:paraId="2B64771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p>
    <w:p w14:paraId="7699DDB3">
      <w:pPr>
        <w:spacing w:after="0" w:line="560" w:lineRule="exact"/>
        <w:rPr>
          <w:rFonts w:ascii="宋体" w:hAnsi="宋体" w:eastAsia="宋体"/>
          <w:sz w:val="24"/>
          <w:szCs w:val="24"/>
        </w:rPr>
      </w:pPr>
      <w:bookmarkStart w:id="0" w:name="_GoBack"/>
      <w:bookmarkEnd w:id="0"/>
    </w:p>
    <w:sectPr>
      <w:pgSz w:w="11906" w:h="16838"/>
      <w:pgMar w:top="2098" w:right="1474" w:bottom="1984" w:left="158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noPunctuationKerning w:val="1"/>
  <w:characterSpacingControl w:val="doNotCompress"/>
  <w:footnotePr>
    <w:footnote w:id="0"/>
    <w:footnote w:id="1"/>
  </w:foot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xOGE4Yjg0MTA5ZjY3NTAwZmI5OGViZTYxMTQ2NTIifQ=="/>
  </w:docVars>
  <w:rsids>
    <w:rsidRoot w:val="00D1462F"/>
    <w:rsid w:val="000E47E8"/>
    <w:rsid w:val="00277D32"/>
    <w:rsid w:val="004F196D"/>
    <w:rsid w:val="0086030F"/>
    <w:rsid w:val="00A36FD5"/>
    <w:rsid w:val="00BC0C75"/>
    <w:rsid w:val="00D1462F"/>
    <w:rsid w:val="0D480738"/>
    <w:rsid w:val="12AA7B7B"/>
    <w:rsid w:val="1B2A68CD"/>
    <w:rsid w:val="1B8847D2"/>
    <w:rsid w:val="21DB7F9A"/>
    <w:rsid w:val="245931AF"/>
    <w:rsid w:val="27B40AAA"/>
    <w:rsid w:val="2C7072E8"/>
    <w:rsid w:val="2D7C4F8A"/>
    <w:rsid w:val="318178A1"/>
    <w:rsid w:val="3D3B5DC3"/>
    <w:rsid w:val="4B05648F"/>
    <w:rsid w:val="4F6E0508"/>
    <w:rsid w:val="52B74231"/>
    <w:rsid w:val="5362532D"/>
    <w:rsid w:val="56221145"/>
    <w:rsid w:val="5A51756B"/>
    <w:rsid w:val="5AF30F60"/>
    <w:rsid w:val="5C961381"/>
    <w:rsid w:val="5C9A6B98"/>
    <w:rsid w:val="63EB4ECB"/>
    <w:rsid w:val="72907369"/>
    <w:rsid w:val="7709593C"/>
    <w:rsid w:val="7F1135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宋体"/>
      <w:sz w:val="22"/>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adjustRightInd w:val="0"/>
      <w:jc w:val="left"/>
      <w:textAlignment w:val="baseline"/>
    </w:pPr>
  </w:style>
  <w:style w:type="paragraph" w:styleId="3">
    <w:name w:val="Date"/>
    <w:basedOn w:val="1"/>
    <w:next w:val="1"/>
    <w:link w:val="18"/>
    <w:autoRedefine/>
    <w:qFormat/>
    <w:uiPriority w:val="99"/>
    <w:pPr>
      <w:ind w:left="100" w:leftChars="2500"/>
    </w:pPr>
  </w:style>
  <w:style w:type="paragraph" w:styleId="4">
    <w:name w:val="Balloon Text"/>
    <w:basedOn w:val="1"/>
    <w:link w:val="16"/>
    <w:autoRedefine/>
    <w:qFormat/>
    <w:uiPriority w:val="99"/>
    <w:pPr>
      <w:spacing w:after="0"/>
    </w:pPr>
    <w:rPr>
      <w:sz w:val="18"/>
      <w:szCs w:val="18"/>
    </w:rPr>
  </w:style>
  <w:style w:type="paragraph" w:styleId="5">
    <w:name w:val="footer"/>
    <w:basedOn w:val="1"/>
    <w:link w:val="15"/>
    <w:autoRedefine/>
    <w:qFormat/>
    <w:uiPriority w:val="99"/>
    <w:pPr>
      <w:tabs>
        <w:tab w:val="center" w:pos="4153"/>
        <w:tab w:val="right" w:pos="8306"/>
      </w:tabs>
    </w:pPr>
    <w:rPr>
      <w:sz w:val="18"/>
      <w:szCs w:val="18"/>
    </w:rPr>
  </w:style>
  <w:style w:type="paragraph" w:styleId="6">
    <w:name w:val="header"/>
    <w:basedOn w:val="1"/>
    <w:link w:val="14"/>
    <w:autoRedefine/>
    <w:qFormat/>
    <w:uiPriority w:val="99"/>
    <w:pPr>
      <w:pBdr>
        <w:bottom w:val="single" w:color="auto" w:sz="6" w:space="1"/>
      </w:pBdr>
      <w:tabs>
        <w:tab w:val="center" w:pos="4153"/>
        <w:tab w:val="right" w:pos="8306"/>
      </w:tabs>
      <w:jc w:val="center"/>
    </w:pPr>
    <w:rPr>
      <w:sz w:val="18"/>
      <w:szCs w:val="18"/>
    </w:rPr>
  </w:style>
  <w:style w:type="paragraph" w:styleId="7">
    <w:name w:val="Normal (Web)"/>
    <w:basedOn w:val="1"/>
    <w:autoRedefine/>
    <w:qFormat/>
    <w:uiPriority w:val="0"/>
    <w:pPr>
      <w:widowControl w:val="0"/>
      <w:adjustRightInd/>
      <w:snapToGrid/>
      <w:spacing w:beforeAutospacing="1" w:after="0" w:afterAutospacing="1"/>
    </w:pPr>
    <w:rPr>
      <w:rFonts w:ascii="Calibri" w:hAnsi="Calibri" w:eastAsia="宋体" w:cs="Times New Roman"/>
      <w:color w:val="FFFFFF"/>
      <w:sz w:val="24"/>
      <w:szCs w:val="21"/>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autoRedefine/>
    <w:qFormat/>
    <w:uiPriority w:val="0"/>
    <w:rPr>
      <w:rFonts w:cs="Times New Roman"/>
    </w:rPr>
  </w:style>
  <w:style w:type="character" w:styleId="12">
    <w:name w:val="FollowedHyperlink"/>
    <w:basedOn w:val="10"/>
    <w:autoRedefine/>
    <w:qFormat/>
    <w:uiPriority w:val="99"/>
    <w:rPr>
      <w:color w:val="954F72"/>
      <w:u w:val="single"/>
    </w:rPr>
  </w:style>
  <w:style w:type="character" w:styleId="13">
    <w:name w:val="Hyperlink"/>
    <w:basedOn w:val="10"/>
    <w:autoRedefine/>
    <w:qFormat/>
    <w:uiPriority w:val="99"/>
    <w:rPr>
      <w:color w:val="0000FF"/>
      <w:u w:val="single"/>
    </w:rPr>
  </w:style>
  <w:style w:type="character" w:customStyle="1" w:styleId="14">
    <w:name w:val="页眉 字符"/>
    <w:basedOn w:val="10"/>
    <w:link w:val="6"/>
    <w:autoRedefine/>
    <w:qFormat/>
    <w:uiPriority w:val="99"/>
    <w:rPr>
      <w:rFonts w:ascii="Tahoma" w:hAnsi="Tahoma"/>
      <w:sz w:val="18"/>
      <w:szCs w:val="18"/>
    </w:rPr>
  </w:style>
  <w:style w:type="character" w:customStyle="1" w:styleId="15">
    <w:name w:val="页脚 字符"/>
    <w:basedOn w:val="10"/>
    <w:link w:val="5"/>
    <w:autoRedefine/>
    <w:qFormat/>
    <w:uiPriority w:val="99"/>
    <w:rPr>
      <w:rFonts w:ascii="Tahoma" w:hAnsi="Tahoma"/>
      <w:sz w:val="18"/>
      <w:szCs w:val="18"/>
    </w:rPr>
  </w:style>
  <w:style w:type="character" w:customStyle="1" w:styleId="16">
    <w:name w:val="批注框文本 字符"/>
    <w:basedOn w:val="10"/>
    <w:link w:val="4"/>
    <w:autoRedefine/>
    <w:qFormat/>
    <w:uiPriority w:val="99"/>
    <w:rPr>
      <w:rFonts w:ascii="Tahoma" w:hAnsi="Tahoma"/>
      <w:sz w:val="18"/>
      <w:szCs w:val="18"/>
    </w:rPr>
  </w:style>
  <w:style w:type="character" w:customStyle="1" w:styleId="17">
    <w:name w:val="未处理的提及1"/>
    <w:basedOn w:val="10"/>
    <w:autoRedefine/>
    <w:qFormat/>
    <w:uiPriority w:val="99"/>
    <w:rPr>
      <w:color w:val="605E5C"/>
      <w:shd w:val="clear" w:color="auto" w:fill="E1DFDD"/>
    </w:rPr>
  </w:style>
  <w:style w:type="character" w:customStyle="1" w:styleId="18">
    <w:name w:val="日期 字符"/>
    <w:basedOn w:val="10"/>
    <w:link w:val="3"/>
    <w:autoRedefine/>
    <w:qFormat/>
    <w:uiPriority w:val="99"/>
    <w:rPr>
      <w:rFonts w:ascii="Tahoma" w:hAnsi="Tahoma"/>
      <w:sz w:val="22"/>
      <w:szCs w:val="22"/>
    </w:rPr>
  </w:style>
  <w:style w:type="paragraph" w:customStyle="1" w:styleId="19">
    <w:name w:val="msonormal"/>
    <w:basedOn w:val="1"/>
    <w:autoRedefine/>
    <w:qFormat/>
    <w:uiPriority w:val="0"/>
    <w:pPr>
      <w:adjustRightInd/>
      <w:snapToGrid/>
      <w:spacing w:before="100" w:beforeAutospacing="1" w:after="100" w:afterAutospacing="1"/>
    </w:pPr>
    <w:rPr>
      <w:rFonts w:ascii="宋体" w:hAnsi="宋体" w:eastAsia="宋体"/>
      <w:sz w:val="24"/>
      <w:szCs w:val="24"/>
    </w:rPr>
  </w:style>
  <w:style w:type="paragraph" w:customStyle="1" w:styleId="20">
    <w:name w:val="font5"/>
    <w:basedOn w:val="1"/>
    <w:autoRedefine/>
    <w:qFormat/>
    <w:uiPriority w:val="0"/>
    <w:pPr>
      <w:adjustRightInd/>
      <w:snapToGrid/>
      <w:spacing w:before="100" w:beforeAutospacing="1" w:after="100" w:afterAutospacing="1"/>
    </w:pPr>
    <w:rPr>
      <w:rFonts w:ascii="宋体" w:hAnsi="宋体" w:eastAsia="宋体"/>
      <w:sz w:val="20"/>
      <w:szCs w:val="20"/>
    </w:rPr>
  </w:style>
  <w:style w:type="paragraph" w:customStyle="1" w:styleId="21">
    <w:name w:val="font6"/>
    <w:basedOn w:val="1"/>
    <w:autoRedefine/>
    <w:qFormat/>
    <w:uiPriority w:val="0"/>
    <w:pPr>
      <w:adjustRightInd/>
      <w:snapToGrid/>
      <w:spacing w:before="100" w:beforeAutospacing="1" w:after="100" w:afterAutospacing="1"/>
    </w:pPr>
    <w:rPr>
      <w:rFonts w:ascii="宋体" w:hAnsi="宋体" w:eastAsia="宋体"/>
      <w:color w:val="FF0000"/>
      <w:sz w:val="20"/>
      <w:szCs w:val="20"/>
    </w:rPr>
  </w:style>
  <w:style w:type="paragraph" w:customStyle="1" w:styleId="22">
    <w:name w:val="font7"/>
    <w:basedOn w:val="1"/>
    <w:autoRedefine/>
    <w:qFormat/>
    <w:uiPriority w:val="0"/>
    <w:pPr>
      <w:adjustRightInd/>
      <w:snapToGrid/>
      <w:spacing w:before="100" w:beforeAutospacing="1" w:after="100" w:afterAutospacing="1"/>
    </w:pPr>
    <w:rPr>
      <w:rFonts w:ascii="宋体" w:hAnsi="宋体" w:eastAsia="宋体"/>
      <w:sz w:val="18"/>
      <w:szCs w:val="18"/>
    </w:rPr>
  </w:style>
  <w:style w:type="paragraph" w:customStyle="1" w:styleId="23">
    <w:name w:val="xl63"/>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eastAsia="宋体"/>
      <w:color w:val="000000"/>
      <w:sz w:val="20"/>
      <w:szCs w:val="20"/>
    </w:rPr>
  </w:style>
  <w:style w:type="paragraph" w:customStyle="1" w:styleId="24">
    <w:name w:val="xl64"/>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eastAsia="宋体"/>
      <w:sz w:val="20"/>
      <w:szCs w:val="20"/>
    </w:rPr>
  </w:style>
  <w:style w:type="paragraph" w:customStyle="1" w:styleId="25">
    <w:name w:val="xl65"/>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top"/>
    </w:pPr>
    <w:rPr>
      <w:rFonts w:ascii="宋体" w:hAnsi="宋体" w:eastAsia="宋体"/>
      <w:sz w:val="20"/>
      <w:szCs w:val="20"/>
    </w:rPr>
  </w:style>
  <w:style w:type="paragraph" w:customStyle="1" w:styleId="26">
    <w:name w:val="xl66"/>
    <w:basedOn w:val="1"/>
    <w:autoRedefine/>
    <w:qFormat/>
    <w:uiPriority w:val="0"/>
    <w:pPr>
      <w:pBdr>
        <w:top w:val="single" w:color="auto" w:sz="4" w:space="0"/>
        <w:left w:val="single" w:color="auto" w:sz="4" w:space="0"/>
        <w:bottom w:val="single" w:color="auto" w:sz="4" w:space="0"/>
        <w:right w:val="single" w:color="auto" w:sz="4" w:space="0"/>
      </w:pBdr>
      <w:shd w:val="clear" w:color="000000" w:fill="FFFF00"/>
      <w:adjustRightInd/>
      <w:snapToGrid/>
      <w:spacing w:before="100" w:beforeAutospacing="1" w:after="100" w:afterAutospacing="1"/>
      <w:jc w:val="center"/>
      <w:textAlignment w:val="top"/>
    </w:pPr>
    <w:rPr>
      <w:rFonts w:ascii="宋体" w:hAnsi="宋体" w:eastAsia="宋体"/>
      <w:sz w:val="20"/>
      <w:szCs w:val="20"/>
    </w:rPr>
  </w:style>
  <w:style w:type="paragraph" w:customStyle="1" w:styleId="27">
    <w:name w:val="xl67"/>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eastAsia="宋体"/>
      <w:sz w:val="20"/>
      <w:szCs w:val="20"/>
    </w:rPr>
  </w:style>
  <w:style w:type="paragraph" w:customStyle="1" w:styleId="28">
    <w:name w:val="xl68"/>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eastAsia="宋体"/>
      <w:color w:val="000000"/>
      <w:sz w:val="20"/>
      <w:szCs w:val="20"/>
    </w:rPr>
  </w:style>
  <w:style w:type="paragraph" w:customStyle="1" w:styleId="29">
    <w:name w:val="xl69"/>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pPr>
    <w:rPr>
      <w:rFonts w:ascii="宋体" w:hAnsi="宋体" w:eastAsia="宋体"/>
      <w:sz w:val="24"/>
      <w:szCs w:val="24"/>
    </w:rPr>
  </w:style>
  <w:style w:type="paragraph" w:customStyle="1" w:styleId="30">
    <w:name w:val="xl70"/>
    <w:basedOn w:val="1"/>
    <w:autoRedefine/>
    <w:qFormat/>
    <w:uiPriority w:val="0"/>
    <w:pPr>
      <w:adjustRightInd/>
      <w:snapToGrid/>
      <w:spacing w:before="100" w:beforeAutospacing="1" w:after="100" w:afterAutospacing="1"/>
      <w:jc w:val="center"/>
    </w:pPr>
    <w:rPr>
      <w:rFonts w:ascii="宋体" w:hAnsi="宋体" w:eastAsia="宋体"/>
      <w:sz w:val="24"/>
      <w:szCs w:val="24"/>
    </w:rPr>
  </w:style>
  <w:style w:type="paragraph" w:customStyle="1" w:styleId="31">
    <w:name w:val="xl71"/>
    <w:basedOn w:val="1"/>
    <w:autoRedefine/>
    <w:qFormat/>
    <w:uiPriority w:val="0"/>
    <w:pPr>
      <w:pBdr>
        <w:bottom w:val="single" w:color="auto" w:sz="4" w:space="0"/>
      </w:pBdr>
      <w:adjustRightInd/>
      <w:snapToGrid/>
      <w:spacing w:before="100" w:beforeAutospacing="1" w:after="100" w:afterAutospacing="1"/>
      <w:jc w:val="center"/>
    </w:pPr>
    <w:rPr>
      <w:rFonts w:ascii="宋体" w:hAnsi="宋体" w:eastAsia="宋体"/>
      <w:b/>
      <w:bCs/>
      <w:sz w:val="24"/>
      <w:szCs w:val="24"/>
    </w:rPr>
  </w:style>
  <w:style w:type="character" w:customStyle="1" w:styleId="32">
    <w:name w:val="未处理的提及2"/>
    <w:basedOn w:val="10"/>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1764</Words>
  <Characters>1831</Characters>
  <Lines>18</Lines>
  <Paragraphs>5</Paragraphs>
  <TotalTime>7</TotalTime>
  <ScaleCrop>false</ScaleCrop>
  <LinksUpToDate>false</LinksUpToDate>
  <CharactersWithSpaces>1851</CharactersWithSpaces>
  <Application>WPS Office_12.1.0.17440_F1E327BC-269C-435d-A152-05C5408002CA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zyx</dc:creator>
  <cp:lastModifiedBy>一抹晴天</cp:lastModifiedBy>
  <cp:lastPrinted>2024-07-08T08:16:00Z</cp:lastPrinted>
  <dcterms:modified xsi:type="dcterms:W3CDTF">2024-07-08T09:27:03Z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AF804109FF404C4E8D4F43040E4C4784_13</vt:lpwstr>
  </property>
</Properties>
</file>